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991941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991941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A06877" w:rsidP="00A06877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99194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99194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991941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991941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A5743A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>,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991941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991941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991941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991941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I rok;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6D3C16">
              <w:rPr>
                <w:b/>
                <w:sz w:val="20"/>
                <w:lang w:val="pl-PL"/>
              </w:rPr>
              <w:t>Z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A5743A" w:rsidRDefault="00560F3F" w:rsidP="00991941">
            <w:pPr>
              <w:spacing w:after="0" w:line="240" w:lineRule="auto"/>
              <w:rPr>
                <w:b/>
                <w:bCs/>
                <w:sz w:val="20"/>
              </w:rPr>
            </w:pPr>
            <w:r w:rsidRPr="00A5743A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A5743A" w:rsidRDefault="00560F3F" w:rsidP="00991941">
            <w:pPr>
              <w:spacing w:after="0" w:line="240" w:lineRule="auto"/>
              <w:rPr>
                <w:b/>
                <w:bCs/>
              </w:rPr>
            </w:pPr>
            <w:r w:rsidRPr="00A5743A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991941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991941">
            <w:pPr>
              <w:pStyle w:val="Standard"/>
              <w:snapToGrid w:val="0"/>
            </w:pPr>
            <w:bookmarkStart w:id="0" w:name="_GoBack"/>
            <w:bookmarkEnd w:id="0"/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A5743A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991941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991941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99194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99194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991941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B309E0">
        <w:trPr>
          <w:trHeight w:hRule="exact" w:val="9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0F3F" w:rsidRDefault="00560F3F" w:rsidP="009919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 xml:space="preserve">umiejętności gry na instrumencie (organy lub fortepian) na poziomie szkoły średniej </w:t>
            </w:r>
          </w:p>
          <w:p w:rsidR="005F7D07" w:rsidRDefault="00560F3F" w:rsidP="00991941">
            <w:pPr>
              <w:snapToGrid w:val="0"/>
              <w:spacing w:after="0" w:line="240" w:lineRule="auto"/>
            </w:pPr>
            <w:r>
              <w:t xml:space="preserve">(II st.)  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991941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991941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991941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5F7D07" w:rsidTr="00B309E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F7D07" w:rsidRDefault="005F7D07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262313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A5743A" w:rsidP="00991941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definiuje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560F3F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M1aK_W02</w:t>
            </w:r>
          </w:p>
        </w:tc>
      </w:tr>
      <w:tr w:rsidR="005F7D07" w:rsidTr="00B309E0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99194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D07" w:rsidRDefault="00262313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A5743A" w:rsidP="00991941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zna style muzyczne i związane z nimi tradycje wykonawcze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560F3F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M1aK_W04</w:t>
            </w:r>
          </w:p>
        </w:tc>
      </w:tr>
      <w:tr w:rsidR="00B309E0" w:rsidTr="00B309E0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</w:rPr>
              <w:t>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309E0" w:rsidP="00991941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 xml:space="preserve">tworzy i realizuje własne koncepcje artystyczne </w:t>
            </w:r>
            <w:r w:rsidRPr="00B309E0">
              <w:rPr>
                <w:rFonts w:ascii="Cambria" w:hAnsi="Cambria" w:cs="Cambria"/>
                <w:sz w:val="20"/>
                <w:szCs w:val="20"/>
              </w:rPr>
              <w:t xml:space="preserve">oraz dysponuje </w:t>
            </w:r>
            <w:r w:rsidRPr="00BB2B29">
              <w:rPr>
                <w:rFonts w:ascii="Cambria" w:hAnsi="Cambria" w:cs="Cambria"/>
                <w:sz w:val="20"/>
                <w:szCs w:val="20"/>
              </w:rPr>
              <w:t>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 xml:space="preserve">M1aK_U01 </w:t>
            </w:r>
          </w:p>
        </w:tc>
      </w:tr>
      <w:tr w:rsidR="00B309E0" w:rsidTr="00991941">
        <w:trPr>
          <w:trHeight w:hRule="exact" w:val="79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u</w:t>
            </w:r>
            <w:r>
              <w:rPr>
                <w:rFonts w:ascii="Cambria" w:hAnsi="Cambria" w:cs="Cambria"/>
              </w:rPr>
              <w:t>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309E0" w:rsidP="00991941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klasyfikuje i wykonuje reprezentatywny repertuar związany ze studiowaniem kierunku muzyka kościelna; ma doświadczenie w wykonywaniu repertuaru w różnych stylach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M1aK_U02</w:t>
            </w:r>
          </w:p>
        </w:tc>
      </w:tr>
      <w:tr w:rsidR="00B309E0" w:rsidTr="00B309E0">
        <w:trPr>
          <w:trHeight w:hRule="exact" w:val="296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</w:rPr>
              <w:t>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309E0" w:rsidP="00991941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M1aK_K01</w:t>
            </w:r>
          </w:p>
          <w:p w:rsidR="00B309E0" w:rsidRDefault="00B309E0" w:rsidP="00991941">
            <w:pPr>
              <w:spacing w:after="0" w:line="240" w:lineRule="auto"/>
            </w:pPr>
          </w:p>
        </w:tc>
      </w:tr>
      <w:tr w:rsidR="00B309E0" w:rsidTr="00B309E0">
        <w:trPr>
          <w:trHeight w:hRule="exact" w:val="184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</w:rPr>
              <w:t>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B309E0" w:rsidRDefault="00B309E0" w:rsidP="00991941">
            <w:pPr>
              <w:suppressAutoHyphens/>
              <w:spacing w:after="0" w:line="240" w:lineRule="auto"/>
              <w:jc w:val="both"/>
              <w:rPr>
                <w:rFonts w:ascii="Cambria" w:eastAsia="UniversPro-Roman" w:hAnsi="Cambria" w:cs="Cambria"/>
                <w:sz w:val="20"/>
                <w:szCs w:val="20"/>
              </w:rPr>
            </w:pPr>
            <w:r w:rsidRPr="00BB2B29">
              <w:rPr>
                <w:rFonts w:ascii="Cambria" w:eastAsia="UniversPro-Roman" w:hAnsi="Cambria" w:cs="Cambria"/>
                <w:sz w:val="20"/>
                <w:szCs w:val="20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BB2B29">
              <w:rPr>
                <w:rFonts w:ascii="Cambria" w:eastAsia="UniversPro-Roman" w:hAnsi="Cambria" w:cs="Cambria"/>
                <w:sz w:val="20"/>
                <w:szCs w:val="20"/>
              </w:rPr>
              <w:t>zachowań</w:t>
            </w:r>
            <w:proofErr w:type="spellEnd"/>
            <w:r w:rsidRPr="00BB2B29">
              <w:rPr>
                <w:rFonts w:ascii="Cambria" w:eastAsia="UniversPro-Roman" w:hAnsi="Cambria" w:cs="Cambria"/>
                <w:sz w:val="20"/>
                <w:szCs w:val="20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309E0" w:rsidP="00991941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M1aK_K03</w:t>
            </w:r>
          </w:p>
          <w:p w:rsidR="00B309E0" w:rsidRDefault="00B309E0" w:rsidP="00991941">
            <w:pPr>
              <w:spacing w:after="0" w:line="240" w:lineRule="auto"/>
            </w:pPr>
          </w:p>
        </w:tc>
      </w:tr>
      <w:tr w:rsidR="00B309E0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B309E0" w:rsidTr="00A5743A">
        <w:trPr>
          <w:trHeight w:val="84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309E0" w:rsidP="0099194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Lucida Sans Unicode"/>
              </w:rPr>
              <w:t>Indywidualne predyspozycje, możliwości i zakres ogólnej wiedzy muzycznej decydują o wyborze odpowiedniego (autorskiego) programu dla każdego studen</w:t>
            </w:r>
            <w:r w:rsidR="00A5743A">
              <w:rPr>
                <w:rFonts w:eastAsia="Lucida Sans Unicode"/>
              </w:rPr>
              <w:t>ta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  <w:p w:rsidR="00B309E0" w:rsidRDefault="00B309E0" w:rsidP="00991941">
            <w:pPr>
              <w:spacing w:after="0" w:line="240" w:lineRule="auto"/>
            </w:pPr>
          </w:p>
        </w:tc>
      </w:tr>
      <w:tr w:rsidR="00A5743A" w:rsidTr="00991941">
        <w:trPr>
          <w:trHeight w:val="6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5743A" w:rsidRDefault="00A5743A" w:rsidP="00991941">
            <w:pPr>
              <w:widowControl w:val="0"/>
              <w:spacing w:after="0" w:line="240" w:lineRule="auto"/>
              <w:rPr>
                <w:rFonts w:eastAsia="Lucida Sans Unicode"/>
              </w:rPr>
            </w:pPr>
            <w:r>
              <w:t xml:space="preserve">Każdy student zobowiązany jest do przygotowania programu nie przekraczającego 20 min z zakresu </w:t>
            </w:r>
            <w:r>
              <w:rPr>
                <w:rFonts w:eastAsia="Lucida Sans Unicode"/>
              </w:rPr>
              <w:t>muzyki epoki baroku, romantyzmu lub współczesności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743A" w:rsidRPr="00BB2B29" w:rsidRDefault="00A5743A" w:rsidP="0099194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B309E0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9E0" w:rsidRDefault="00B309E0" w:rsidP="009919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B309E0" w:rsidRPr="00BB2B29" w:rsidRDefault="00B309E0" w:rsidP="00991941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991941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1268B9" w:rsidRPr="00BB2B29" w:rsidRDefault="001268B9" w:rsidP="0099194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B309E0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Pr="00BB2B29" w:rsidRDefault="00B309E0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991941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B309E0" w:rsidTr="00B309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Pr="00BB2B29" w:rsidRDefault="00B309E0" w:rsidP="009919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560F3F" w:rsidRDefault="001268B9" w:rsidP="00991941">
            <w:pPr>
              <w:widowControl w:val="0"/>
              <w:spacing w:after="0" w:line="240" w:lineRule="auto"/>
            </w:pPr>
            <w:r w:rsidRPr="006E65E2">
              <w:t xml:space="preserve">Student na końcu semestru przed komisją wykonuje program 15-min z zakresu muzyki dawnej (do XVIII wieku), który przygotował wraz z nauczycielem organów.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B309E0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Pr="00BB2B29" w:rsidRDefault="00B309E0" w:rsidP="00991941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991941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B309E0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09E0" w:rsidRPr="00BB2B29" w:rsidRDefault="00B309E0" w:rsidP="00991941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G. Frescobaldi 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560F3F">
              <w:rPr>
                <w:bCs/>
                <w:sz w:val="20"/>
                <w:lang w:val="pl-PL"/>
              </w:rPr>
              <w:t>Couperin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 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560F3F">
              <w:rPr>
                <w:bCs/>
                <w:sz w:val="20"/>
                <w:lang w:val="pl-PL"/>
              </w:rPr>
              <w:t>Sweelinck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560F3F">
              <w:rPr>
                <w:bCs/>
                <w:sz w:val="20"/>
                <w:lang w:val="pl-PL"/>
              </w:rPr>
              <w:t>Pachelbell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D. Buxtehude: dzieła wszystkie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560F3F">
              <w:rPr>
                <w:bCs/>
                <w:sz w:val="20"/>
                <w:lang w:val="pl-PL"/>
              </w:rPr>
              <w:t>Bruhns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560F3F">
              <w:rPr>
                <w:bCs/>
                <w:sz w:val="20"/>
                <w:lang w:val="pl-PL"/>
              </w:rPr>
              <w:t>Böhm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560F3F">
              <w:rPr>
                <w:bCs/>
                <w:sz w:val="20"/>
                <w:lang w:val="pl-PL"/>
              </w:rPr>
              <w:t>Lübeck</w:t>
            </w:r>
            <w:proofErr w:type="spellEnd"/>
            <w:r w:rsidRPr="00560F3F">
              <w:rPr>
                <w:bCs/>
                <w:sz w:val="20"/>
                <w:lang w:val="pl-PL"/>
              </w:rPr>
              <w:t>: dzieła wszystkie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B309E0" w:rsidRPr="00560F3F" w:rsidRDefault="00B309E0" w:rsidP="00991941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560F3F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560F3F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560F3F">
              <w:rPr>
                <w:bCs/>
                <w:sz w:val="20"/>
                <w:lang w:val="pl-PL"/>
              </w:rPr>
              <w:t>Neumeistra</w:t>
            </w:r>
            <w:proofErr w:type="spellEnd"/>
            <w:r w:rsidRPr="00560F3F">
              <w:rPr>
                <w:bCs/>
                <w:sz w:val="20"/>
                <w:lang w:val="pl-PL"/>
              </w:rPr>
              <w:t>, chorały Lipskie</w:t>
            </w:r>
          </w:p>
          <w:p w:rsidR="00B309E0" w:rsidRPr="00BB2B29" w:rsidRDefault="00B309E0" w:rsidP="00991941">
            <w:pPr>
              <w:pStyle w:val="Standard"/>
              <w:rPr>
                <w:b/>
                <w:sz w:val="20"/>
                <w:lang w:val="pl-PL"/>
              </w:rPr>
            </w:pPr>
          </w:p>
          <w:p w:rsidR="00B309E0" w:rsidRDefault="00B309E0" w:rsidP="00991941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B309E0" w:rsidRPr="00BB2B29" w:rsidRDefault="00B309E0" w:rsidP="00991941">
            <w:pPr>
              <w:pStyle w:val="Standard"/>
              <w:rPr>
                <w:i/>
                <w:lang w:val="pl-PL"/>
              </w:rPr>
            </w:pP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literatura polskich tabulatur organowych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 </w:t>
            </w:r>
            <w:proofErr w:type="spellStart"/>
            <w:r w:rsidRPr="00560F3F">
              <w:rPr>
                <w:bCs/>
                <w:sz w:val="18"/>
                <w:szCs w:val="18"/>
              </w:rPr>
              <w:t>Titelouze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G.G. </w:t>
            </w:r>
            <w:proofErr w:type="spellStart"/>
            <w:r w:rsidRPr="00560F3F">
              <w:rPr>
                <w:bCs/>
                <w:sz w:val="18"/>
                <w:szCs w:val="18"/>
              </w:rPr>
              <w:t>Nivers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N. de </w:t>
            </w:r>
            <w:proofErr w:type="spellStart"/>
            <w:r w:rsidRPr="00560F3F">
              <w:rPr>
                <w:bCs/>
                <w:sz w:val="18"/>
                <w:szCs w:val="18"/>
              </w:rPr>
              <w:t>Grigny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L.N. </w:t>
            </w:r>
            <w:proofErr w:type="spellStart"/>
            <w:r w:rsidRPr="00560F3F">
              <w:rPr>
                <w:bCs/>
                <w:sz w:val="18"/>
                <w:szCs w:val="18"/>
              </w:rPr>
              <w:t>Clérambault</w:t>
            </w:r>
            <w:proofErr w:type="spellEnd"/>
            <w:r w:rsidRPr="00560F3F">
              <w:rPr>
                <w:bCs/>
                <w:sz w:val="18"/>
                <w:szCs w:val="18"/>
              </w:rPr>
              <w:t>;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J.J. </w:t>
            </w:r>
            <w:proofErr w:type="spellStart"/>
            <w:r w:rsidRPr="00560F3F">
              <w:rPr>
                <w:bCs/>
                <w:sz w:val="18"/>
                <w:szCs w:val="18"/>
              </w:rPr>
              <w:t>Froberger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560F3F">
              <w:rPr>
                <w:bCs/>
                <w:sz w:val="18"/>
                <w:szCs w:val="18"/>
              </w:rPr>
              <w:t>Scheidt</w:t>
            </w:r>
            <w:proofErr w:type="spellEnd"/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B309E0" w:rsidRPr="00560F3F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B309E0" w:rsidRDefault="00B309E0" w:rsidP="0099194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B309E0" w:rsidRPr="00BB2B29" w:rsidRDefault="00B309E0" w:rsidP="009919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09E0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B309E0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991941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991941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</w:p>
        </w:tc>
      </w:tr>
      <w:tr w:rsidR="00B309E0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napToGrid w:val="0"/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t>10</w:t>
            </w:r>
          </w:p>
        </w:tc>
      </w:tr>
      <w:tr w:rsidR="00B309E0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t>30</w:t>
            </w: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t>1</w:t>
            </w:r>
          </w:p>
        </w:tc>
      </w:tr>
      <w:tr w:rsidR="00B309E0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spacing w:after="0" w:line="240" w:lineRule="auto"/>
            </w:pPr>
            <w:r>
              <w:t>2</w:t>
            </w:r>
          </w:p>
        </w:tc>
      </w:tr>
      <w:tr w:rsidR="00B309E0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991941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B309E0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991941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B309E0" w:rsidRDefault="00B309E0" w:rsidP="00991941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99194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lastRenderedPageBreak/>
              <w:t>Efekty uczenia się przedmiotu</w:t>
            </w:r>
          </w:p>
          <w:p w:rsidR="00B309E0" w:rsidRDefault="00B309E0" w:rsidP="00991941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991941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991941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99194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991941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B309E0" w:rsidRDefault="00B309E0" w:rsidP="00991941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M1aK_W02</w:t>
            </w: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Pr="00560F3F" w:rsidRDefault="002C173E" w:rsidP="0099194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M1aK_W04</w:t>
            </w: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M1aK_U01</w:t>
            </w: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M1aK_U02</w:t>
            </w: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M1aK_K01</w:t>
            </w:r>
          </w:p>
          <w:p w:rsidR="002C173E" w:rsidRDefault="002C173E" w:rsidP="00991941">
            <w:pPr>
              <w:snapToGrid w:val="0"/>
              <w:spacing w:after="0" w:line="240" w:lineRule="auto"/>
            </w:pPr>
          </w:p>
        </w:tc>
      </w:tr>
      <w:tr w:rsidR="002C173E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T_1, 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173E" w:rsidRDefault="002C173E" w:rsidP="00991941">
            <w:pPr>
              <w:spacing w:after="0" w:line="240" w:lineRule="auto"/>
              <w:rPr>
                <w:rFonts w:ascii="Cambria" w:eastAsia="Times New Roman" w:hAnsi="Cambria" w:cs="Cambria"/>
              </w:rPr>
            </w:pPr>
            <w:r>
              <w:rPr>
                <w:rFonts w:ascii="Cambria" w:hAnsi="Cambria" w:cs="Cambria"/>
              </w:rPr>
              <w:t>M1aK_K03</w:t>
            </w:r>
          </w:p>
          <w:p w:rsidR="002C173E" w:rsidRDefault="002C173E" w:rsidP="00991941">
            <w:pPr>
              <w:snapToGrid w:val="0"/>
              <w:spacing w:after="0" w:line="240" w:lineRule="auto"/>
            </w:pPr>
          </w:p>
        </w:tc>
      </w:tr>
    </w:tbl>
    <w:p w:rsidR="005F7D07" w:rsidRDefault="005F7D07" w:rsidP="00991941">
      <w:pPr>
        <w:spacing w:after="0" w:line="240" w:lineRule="auto"/>
        <w:rPr>
          <w:vanish/>
        </w:rPr>
      </w:pPr>
    </w:p>
    <w:p w:rsidR="005F7D07" w:rsidRDefault="005F7D07" w:rsidP="00991941">
      <w:pPr>
        <w:spacing w:after="0" w:line="240" w:lineRule="auto"/>
      </w:pPr>
    </w:p>
    <w:p w:rsidR="005F7D07" w:rsidRDefault="005F7D07" w:rsidP="00991941">
      <w:pPr>
        <w:spacing w:after="0" w:line="240" w:lineRule="auto"/>
        <w:jc w:val="center"/>
      </w:pPr>
    </w:p>
    <w:p w:rsidR="005F7D07" w:rsidRDefault="005F7D07" w:rsidP="00991941">
      <w:pPr>
        <w:spacing w:after="0" w:line="240" w:lineRule="auto"/>
      </w:pPr>
    </w:p>
    <w:p w:rsidR="000D29A6" w:rsidRDefault="000D29A6" w:rsidP="00991941">
      <w:pPr>
        <w:spacing w:after="0" w:line="240" w:lineRule="auto"/>
      </w:pPr>
    </w:p>
    <w:sectPr w:rsidR="000D29A6" w:rsidSect="00991941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D29A6"/>
    <w:rsid w:val="001268B9"/>
    <w:rsid w:val="00262313"/>
    <w:rsid w:val="002C173E"/>
    <w:rsid w:val="00387E71"/>
    <w:rsid w:val="003A5F27"/>
    <w:rsid w:val="004B5218"/>
    <w:rsid w:val="00560F3F"/>
    <w:rsid w:val="005F7D07"/>
    <w:rsid w:val="006408BE"/>
    <w:rsid w:val="006D3C16"/>
    <w:rsid w:val="007033E5"/>
    <w:rsid w:val="007B0CFF"/>
    <w:rsid w:val="00991941"/>
    <w:rsid w:val="009C2060"/>
    <w:rsid w:val="009E261C"/>
    <w:rsid w:val="00A06877"/>
    <w:rsid w:val="00A5743A"/>
    <w:rsid w:val="00B309E0"/>
    <w:rsid w:val="00C922ED"/>
    <w:rsid w:val="00CF5BEA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1D8C-3A24-4AAC-84FC-69495042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4</cp:revision>
  <cp:lastPrinted>2019-11-18T08:46:00Z</cp:lastPrinted>
  <dcterms:created xsi:type="dcterms:W3CDTF">2019-10-07T08:52:00Z</dcterms:created>
  <dcterms:modified xsi:type="dcterms:W3CDTF">2019-11-18T08:50:00Z</dcterms:modified>
</cp:coreProperties>
</file>