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3D5" w:rsidRDefault="004333D5">
      <w:pPr>
        <w:spacing w:line="236" w:lineRule="auto"/>
        <w:ind w:left="1040" w:right="920"/>
        <w:jc w:val="center"/>
        <w:rPr>
          <w:b/>
          <w:color w:val="002060"/>
          <w:sz w:val="28"/>
        </w:rPr>
      </w:pPr>
      <w:r>
        <w:rPr>
          <w:b/>
          <w:color w:val="002060"/>
          <w:sz w:val="28"/>
        </w:rPr>
        <w:t xml:space="preserve">Wskazówki dotyczące sposobu przygotowania i stosowania wzoru “Porozumienia o programie studiów” </w:t>
      </w:r>
      <w:r w:rsidR="00A93119">
        <w:rPr>
          <w:b/>
          <w:color w:val="002060"/>
          <w:sz w:val="28"/>
        </w:rPr>
        <w:br/>
      </w:r>
      <w:bookmarkStart w:id="0" w:name="_GoBack"/>
      <w:bookmarkEnd w:id="0"/>
      <w:r>
        <w:rPr>
          <w:b/>
          <w:color w:val="002060"/>
          <w:sz w:val="28"/>
        </w:rPr>
        <w:t>(</w:t>
      </w:r>
      <w:r>
        <w:rPr>
          <w:b/>
          <w:i/>
          <w:color w:val="002060"/>
          <w:sz w:val="28"/>
        </w:rPr>
        <w:t>Learning Agreement for Studies</w:t>
      </w:r>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Learning Agreement for Studies</w:t>
      </w:r>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Większość informacji zawartych na stronie 1 odnoszących się do studenta, uczelni wysyłającej i przyjmującej będzie musiała być wpisana do systemu MobilityTool+</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 xml:space="preserve">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F94EF3">
      <w:pPr>
        <w:spacing w:line="20" w:lineRule="exact"/>
        <w:rPr>
          <w:rFonts w:ascii="Times New Roman" w:eastAsia="Times New Roman" w:hAnsi="Times New Roman"/>
        </w:rPr>
      </w:pPr>
      <w:r w:rsidRPr="00F94EF3">
        <w:rPr>
          <w:rFonts w:ascii="Times New Roman" w:eastAsia="Times New Roman" w:hAnsi="Times New Roman"/>
          <w:noProof/>
          <w:sz w:val="1"/>
        </w:rPr>
        <w:pict>
          <v:rect id="Rectangle 4" o:spid="_x0000_s1026" style="position:absolute;margin-left:495.7pt;margin-top:-.85pt;width:2.15pt;height:1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F94EF3">
      <w:pPr>
        <w:spacing w:line="20" w:lineRule="exact"/>
        <w:rPr>
          <w:rFonts w:ascii="Times New Roman" w:eastAsia="Times New Roman" w:hAnsi="Times New Roman"/>
        </w:rPr>
      </w:pPr>
      <w:r w:rsidRPr="00F94EF3">
        <w:rPr>
          <w:rFonts w:ascii="Times New Roman" w:eastAsia="Times New Roman" w:hAnsi="Times New Roman"/>
          <w:noProof/>
          <w:sz w:val="1"/>
        </w:rPr>
        <w:pict>
          <v:rect id="Rectangle 5" o:spid="_x0000_s1051" style="position:absolute;margin-left:495.7pt;margin-top:-.85pt;width:2.15pt;height:1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w:r>
      <w:r w:rsidRPr="00F94EF3">
        <w:rPr>
          <w:rFonts w:ascii="Times New Roman" w:eastAsia="Times New Roman" w:hAnsi="Times New Roman"/>
          <w:noProof/>
          <w:sz w:val="1"/>
        </w:rPr>
        <w:pict>
          <v:rect id="Rectangle 6" o:spid="_x0000_s1050" style="position:absolute;margin-left:495.55pt;margin-top:-2.3pt;width:1pt;height:1.0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Uczelnia wysyłająca i przyjmująca uzgodniły w umowie międzyinstytucjonalnej zalecany poziom biegłości językowej</w:t>
      </w:r>
      <w:r>
        <w:rPr>
          <w:sz w:val="27"/>
          <w:vertAlign w:val="superscript"/>
        </w:rPr>
        <w:t>ii</w:t>
      </w:r>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Linguistic Support (OLS) </w:t>
      </w:r>
      <w:r>
        <w:rPr>
          <w:sz w:val="22"/>
        </w:rPr>
        <w:t>to narzędzie, które zostało uruchomione, aby umożliwićstudentom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Tutoringsessions</w:t>
      </w:r>
      <w:r>
        <w:rPr>
          <w:sz w:val="22"/>
        </w:rPr>
        <w:t xml:space="preserve">) są dostępne na stronie: </w:t>
      </w:r>
      <w:hyperlink r:id="rId7"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 xml:space="preserve">Dopuszcza się możliwość dokonywania zmian do uzgodnionego i uzasadnionych sytuacjach. Strony uzgodniły przecież programprogramu kształcenia w wyjątkowych kształcenia  na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F94EF3" w:rsidP="00255434">
      <w:pPr>
        <w:spacing w:line="20" w:lineRule="exact"/>
        <w:rPr>
          <w:rFonts w:ascii="Times New Roman" w:eastAsia="Times New Roman" w:hAnsi="Times New Roman"/>
        </w:rPr>
      </w:pPr>
      <w:r w:rsidRPr="00F94EF3">
        <w:rPr>
          <w:noProof/>
          <w:sz w:val="22"/>
        </w:rPr>
        <w:pict>
          <v:line id="Line 9" o:spid="_x0000_s1049" style="position:absolute;z-index:-251671040;visibility:visibl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w:r>
      <w:r w:rsidRPr="00F94EF3">
        <w:rPr>
          <w:noProof/>
          <w:sz w:val="22"/>
        </w:rPr>
        <w:pict>
          <v:line id="Line 10" o:spid="_x0000_s1048" style="position:absolute;z-index:-251670016;visibility:visibl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w:r>
      <w:r w:rsidRPr="00F94EF3">
        <w:rPr>
          <w:noProof/>
          <w:sz w:val="22"/>
        </w:rPr>
        <w:pict>
          <v:line id="Line 11" o:spid="_x0000_s1047" style="position:absolute;z-index:-251668992;visibility:visibl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w:r>
      <w:r w:rsidRPr="00F94EF3">
        <w:rPr>
          <w:noProof/>
          <w:sz w:val="22"/>
        </w:rPr>
        <w:pict>
          <v:line id="Line 12" o:spid="_x0000_s1046" style="position:absolute;z-index:-251667968;visibility:visibl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w:r>
      <w:r w:rsidRPr="00F94EF3">
        <w:rPr>
          <w:noProof/>
          <w:sz w:val="22"/>
        </w:rPr>
        <w:pict>
          <v:line id="Line 13" o:spid="_x0000_s1045" style="position:absolute;z-index:-251666944;visibility:visibl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w:r>
      <w:r w:rsidRPr="00F94EF3">
        <w:rPr>
          <w:noProof/>
          <w:sz w:val="22"/>
        </w:rPr>
        <w:pict>
          <v:line id="Line 14" o:spid="_x0000_s1044" style="position:absolute;z-index:-251665920;visibility:visibl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Table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Przyczyna zmiany</w:t>
            </w:r>
            <w:r>
              <w:rPr>
                <w:b/>
                <w:vertAlign w:val="superscript"/>
              </w:rPr>
              <w:t>iii</w:t>
            </w:r>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r>
              <w:rPr>
                <w:b/>
                <w:sz w:val="16"/>
              </w:rPr>
              <w:t>During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Chooseanitem.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Chooseanitem.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F94EF3">
      <w:pPr>
        <w:spacing w:line="20" w:lineRule="exact"/>
        <w:rPr>
          <w:rFonts w:ascii="Times New Roman" w:eastAsia="Times New Roman" w:hAnsi="Times New Roman"/>
        </w:rPr>
      </w:pPr>
      <w:r w:rsidRPr="00F94EF3">
        <w:rPr>
          <w:i/>
          <w:noProof/>
          <w:sz w:val="16"/>
        </w:rPr>
        <w:pict>
          <v:line id="Line 15" o:spid="_x0000_s1043" style="position:absolute;z-index:-251664896;visibility:visible;mso-position-horizontal-relative:text;mso-position-vertical-relative:text"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F94EF3">
      <w:pPr>
        <w:spacing w:line="20" w:lineRule="exact"/>
        <w:rPr>
          <w:rFonts w:ascii="Times New Roman" w:eastAsia="Times New Roman" w:hAnsi="Times New Roman"/>
        </w:rPr>
      </w:pPr>
      <w:r w:rsidRPr="00F94EF3">
        <w:rPr>
          <w:noProof/>
          <w:sz w:val="22"/>
        </w:rPr>
        <w:pict>
          <v:line id="Line 16" o:spid="_x0000_s1042" style="position:absolute;z-index:-251663872;visibility:visibl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w:r>
      <w:r w:rsidRPr="00F94EF3">
        <w:rPr>
          <w:noProof/>
          <w:sz w:val="22"/>
        </w:rPr>
        <w:pict>
          <v:line id="Line 17" o:spid="_x0000_s1041" style="position:absolute;z-index:-251662848;visibility:visibl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w:r>
      <w:r w:rsidRPr="00F94EF3">
        <w:rPr>
          <w:noProof/>
          <w:sz w:val="22"/>
        </w:rPr>
        <w:pict>
          <v:line id="Line 18" o:spid="_x0000_s1040" style="position:absolute;z-index:-251661824;visibility:visibl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w:r>
      <w:r w:rsidRPr="00F94EF3">
        <w:rPr>
          <w:noProof/>
          <w:sz w:val="22"/>
        </w:rPr>
        <w:pict>
          <v:line id="Line 19" o:spid="_x0000_s1039" style="position:absolute;z-index:-251660800;visibility:visibl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w:r>
      <w:r w:rsidRPr="00F94EF3">
        <w:rPr>
          <w:noProof/>
          <w:sz w:val="22"/>
        </w:rPr>
        <w:pict>
          <v:rect id="Rectangle 20" o:spid="_x0000_s1038" style="position:absolute;margin-left:494.7pt;margin-top:8.2pt;width:2.1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w:r>
      <w:r w:rsidRPr="00F94EF3">
        <w:rPr>
          <w:noProof/>
          <w:sz w:val="22"/>
        </w:rPr>
        <w:pict>
          <v:line id="Line 21" o:spid="_x0000_s1037" style="position:absolute;z-index:-251658752;visibility:visibl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w:r>
      <w:r w:rsidRPr="00F94EF3">
        <w:rPr>
          <w:noProof/>
          <w:sz w:val="22"/>
        </w:rPr>
        <w:pict>
          <v:line id="Line 22" o:spid="_x0000_s1036" style="position:absolute;z-index:-251657728;visibility:visibl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w:r>
      <w:r w:rsidRPr="00F94EF3">
        <w:rPr>
          <w:noProof/>
          <w:sz w:val="22"/>
        </w:rPr>
        <w:pict>
          <v:line id="Line 23" o:spid="_x0000_s1035" style="position:absolute;z-index:-251656704;visibility:visibl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w:r>
      <w:r w:rsidRPr="00F94EF3">
        <w:rPr>
          <w:noProof/>
          <w:sz w:val="22"/>
        </w:rPr>
        <w:pict>
          <v:line id="Line 24" o:spid="_x0000_s1034" style="position:absolute;z-index:-251655680;visibility:visibl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w:r>
      <w:r w:rsidRPr="00F94EF3">
        <w:rPr>
          <w:noProof/>
          <w:sz w:val="22"/>
        </w:rPr>
        <w:pict>
          <v:line id="Line 25" o:spid="_x0000_s1033" style="position:absolute;z-index:-251654656;visibility:visibl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w:r>
      <w:r w:rsidRPr="00F94EF3">
        <w:rPr>
          <w:noProof/>
          <w:sz w:val="22"/>
        </w:rPr>
        <w:pict>
          <v:line id="Line 26" o:spid="_x0000_s1032" style="position:absolute;z-index:-251653632;visibility:visibl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F94EF3">
      <w:pPr>
        <w:spacing w:line="20" w:lineRule="exact"/>
        <w:rPr>
          <w:rFonts w:ascii="Times New Roman" w:eastAsia="Times New Roman" w:hAnsi="Times New Roman"/>
        </w:rPr>
      </w:pPr>
      <w:r w:rsidRPr="00F94EF3">
        <w:rPr>
          <w:noProof/>
          <w:sz w:val="16"/>
        </w:rPr>
        <w:pict>
          <v:line id="Line 27" o:spid="_x0000_s1031" style="position:absolute;z-index:-251652608;visibility:visibl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F94EF3">
      <w:pPr>
        <w:spacing w:line="20" w:lineRule="exact"/>
        <w:rPr>
          <w:rFonts w:ascii="Times New Roman" w:eastAsia="Times New Roman" w:hAnsi="Times New Roman"/>
        </w:rPr>
      </w:pPr>
      <w:r w:rsidRPr="00F94EF3">
        <w:rPr>
          <w:noProof/>
          <w:sz w:val="16"/>
        </w:rPr>
        <w:pict>
          <v:line id="Line 28" o:spid="_x0000_s1030" style="position:absolute;z-index:-251651584;visibility:visibl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w:r>
      <w:r w:rsidRPr="00F94EF3">
        <w:rPr>
          <w:noProof/>
          <w:sz w:val="16"/>
        </w:rPr>
        <w:pict>
          <v:line id="Line 29" o:spid="_x0000_s1029" style="position:absolute;z-index:-251650560;visibility:visibl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w:r>
      <w:r w:rsidRPr="00F94EF3">
        <w:rPr>
          <w:noProof/>
          <w:sz w:val="16"/>
        </w:rPr>
        <w:pict>
          <v:rect id="Rectangle 30" o:spid="_x0000_s1028" style="position:absolute;margin-left:494.7pt;margin-top:1.55pt;width:2.15pt;height: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r>
        <w:rPr>
          <w:b/>
          <w:i/>
          <w:sz w:val="22"/>
          <w:u w:val="single"/>
        </w:rPr>
        <w:t>Transcript of Records</w:t>
      </w:r>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 xml:space="preserve">Po zakończeniu mobilności uczelnia przyjmująca powinna wysłać studentowi oraz uczelni wysyłającej „Wykaz zaliczeń” (tabela C) w terminie uzgodnionym w umowie międzyinstytucjonalnej i nie później niż 5 </w:t>
      </w:r>
      <w:r>
        <w:rPr>
          <w:sz w:val="22"/>
        </w:rPr>
        <w:lastRenderedPageBreak/>
        <w:t>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„Wykaz osiągnięć/zaliczeń” i zaliczenie okresu studiów</w:t>
      </w:r>
      <w:r>
        <w:rPr>
          <w:b/>
          <w:sz w:val="27"/>
          <w:u w:val="single"/>
          <w:vertAlign w:val="superscript"/>
        </w:rPr>
        <w:t>iv</w:t>
      </w:r>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o procentowym rozkładzie ocen dostarczona przez uczelnią przyjmującą (dla uczelni z krajów programu opis metody został przedstawiony w „Przewodniku użytkowników systemu ECTS”</w:t>
      </w:r>
      <w:r>
        <w:rPr>
          <w:sz w:val="27"/>
          <w:vertAlign w:val="superscript"/>
        </w:rPr>
        <w:t>v</w:t>
      </w:r>
      <w:r>
        <w:rPr>
          <w:sz w:val="22"/>
        </w:rPr>
        <w:t>). Komisja Europejska zachęca uczelnie to korzystania z narzędzia wypracowanego jako rezultat projektu ERGACONS</w:t>
      </w:r>
      <w:r>
        <w:rPr>
          <w:sz w:val="27"/>
          <w:vertAlign w:val="superscript"/>
        </w:rPr>
        <w:t>vi</w:t>
      </w:r>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on-line EU survey</w:t>
      </w:r>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8"/>
          <w:footerReference w:type="default" r:id="rId9"/>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407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84658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 xml:space="preserve">potwierdzenie zobowiązań/ustaleń </w:t>
      </w:r>
      <w:r>
        <w:rPr>
          <w:sz w:val="22"/>
        </w:rPr>
        <w:t>przez wszystkie trzy strony (podpisoryginalny/skan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75" cy="407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26936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195" cy="389255"/>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195" cy="2388870"/>
                    </a:xfrm>
                    <a:prstGeom prst="rect">
                      <a:avLst/>
                    </a:prstGeom>
                    <a:noFill/>
                  </pic:spPr>
                </pic:pic>
              </a:graphicData>
            </a:graphic>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p w:rsidR="004333D5" w:rsidRDefault="00F94EF3">
      <w:pPr>
        <w:spacing w:line="20" w:lineRule="exact"/>
        <w:rPr>
          <w:rFonts w:ascii="Times New Roman" w:eastAsia="Times New Roman" w:hAnsi="Times New Roman"/>
        </w:rPr>
      </w:pPr>
      <w:bookmarkStart w:id="5" w:name="page7"/>
      <w:bookmarkEnd w:id="5"/>
      <w:r w:rsidRPr="00F94EF3">
        <w:rPr>
          <w:rFonts w:ascii="Verdana" w:eastAsia="Verdana" w:hAnsi="Verdana"/>
          <w:b/>
          <w:noProof/>
          <w:color w:val="003CB4"/>
          <w:sz w:val="16"/>
        </w:rPr>
        <w:pict>
          <v:line id="Line 40" o:spid="_x0000_s1027" style="position:absolute;z-index:-251639296;visibility:visibl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okresstanowiący integralną część programukształcenia studenta,przewidziany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opisEuropejskich poziomów biegłości językowej(CEFR)jest dostępnyna stronie</w:t>
      </w:r>
      <w:hyperlink r:id="rId16"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:wszystkie osiągnięcia i przypisane do nich punktyECTS (lubrównoważne)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Users' Guide </w:t>
      </w:r>
      <w:r>
        <w:t>-</w:t>
      </w:r>
      <w:r>
        <w:rPr>
          <w:sz w:val="16"/>
        </w:rPr>
        <w:t>“Przewodnikdla użytkowników systemu ECTS”</w:t>
      </w:r>
      <w:r>
        <w:t>:</w:t>
      </w:r>
      <w:hyperlink r:id="rId17"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18" w:rsidRDefault="00565718" w:rsidP="00EF0748">
      <w:r>
        <w:separator/>
      </w:r>
    </w:p>
  </w:endnote>
  <w:endnote w:type="continuationSeparator" w:id="1">
    <w:p w:rsidR="00565718" w:rsidRDefault="00565718" w:rsidP="00EF0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530074"/>
      <w:docPartObj>
        <w:docPartGallery w:val="Page Numbers (Bottom of Page)"/>
        <w:docPartUnique/>
      </w:docPartObj>
    </w:sdtPr>
    <w:sdtEndPr>
      <w:rPr>
        <w:noProof/>
      </w:rPr>
    </w:sdtEndPr>
    <w:sdtContent>
      <w:p w:rsidR="00EF0748" w:rsidRDefault="00F94EF3">
        <w:pPr>
          <w:pStyle w:val="Stopka"/>
          <w:jc w:val="center"/>
        </w:pPr>
        <w:r>
          <w:fldChar w:fldCharType="begin"/>
        </w:r>
        <w:r w:rsidR="00EF0748">
          <w:instrText xml:space="preserve"> PAGE   \* MERGEFORMAT </w:instrText>
        </w:r>
        <w:r>
          <w:fldChar w:fldCharType="separate"/>
        </w:r>
        <w:r w:rsidR="006A57B7">
          <w:rPr>
            <w:noProof/>
          </w:rPr>
          <w:t>7</w:t>
        </w:r>
        <w:r>
          <w:rPr>
            <w:noProof/>
          </w:rPr>
          <w:fldChar w:fldCharType="end"/>
        </w:r>
      </w:p>
    </w:sdtContent>
  </w:sdt>
  <w:p w:rsidR="00EF0748" w:rsidRDefault="00EF0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18" w:rsidRDefault="00565718" w:rsidP="00EF0748">
      <w:r>
        <w:separator/>
      </w:r>
    </w:p>
  </w:footnote>
  <w:footnote w:type="continuationSeparator" w:id="1">
    <w:p w:rsidR="00565718" w:rsidRDefault="00565718" w:rsidP="00EF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122" cy="323850"/>
                  </a:xfrm>
                  <a:prstGeom prst="rect">
                    <a:avLst/>
                  </a:prstGeom>
                  <a:noFill/>
                </pic:spPr>
              </pic:pic>
            </a:graphicData>
          </a:graphic>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C2A50"/>
    <w:rsid w:val="001C2A50"/>
    <w:rsid w:val="00255434"/>
    <w:rsid w:val="00423025"/>
    <w:rsid w:val="004333D5"/>
    <w:rsid w:val="00565718"/>
    <w:rsid w:val="006A57B7"/>
    <w:rsid w:val="00A1670A"/>
    <w:rsid w:val="00A93119"/>
    <w:rsid w:val="00AF0F0A"/>
    <w:rsid w:val="00BD79E5"/>
    <w:rsid w:val="00EF0748"/>
    <w:rsid w:val="00F32338"/>
    <w:rsid w:val="00F94E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E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image" Target="media/image4.jpeg"/><Relationship Id="rId17" Type="http://schemas.openxmlformats.org/officeDocument/2006/relationships/hyperlink" Target="http://ec.europa.eu/education/tools/ects_en.htm" TargetMode="Externa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16837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19604</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Karolina - PC</cp:lastModifiedBy>
  <cp:revision>2</cp:revision>
  <dcterms:created xsi:type="dcterms:W3CDTF">2020-03-20T10:45:00Z</dcterms:created>
  <dcterms:modified xsi:type="dcterms:W3CDTF">2020-03-20T10:45:00Z</dcterms:modified>
</cp:coreProperties>
</file>